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B8BD7">
      <w:pPr>
        <w:pStyle w:val="5"/>
        <w:tabs>
          <w:tab w:val="left" w:pos="10659"/>
          <w:tab w:val="left" w:pos="11619"/>
          <w:tab w:val="left" w:pos="12579"/>
          <w:tab w:val="left" w:pos="13539"/>
          <w:tab w:val="left" w:pos="14499"/>
        </w:tabs>
        <w:spacing w:before="0" w:beforeAutospacing="0" w:after="0" w:afterAutospacing="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ΛΑΡΙΣΑ 12-12-2024</w:t>
      </w:r>
    </w:p>
    <w:p w14:paraId="32EAEC32">
      <w:pPr>
        <w:pStyle w:val="5"/>
        <w:tabs>
          <w:tab w:val="left" w:pos="10659"/>
          <w:tab w:val="left" w:pos="11619"/>
          <w:tab w:val="left" w:pos="12579"/>
          <w:tab w:val="left" w:pos="13539"/>
          <w:tab w:val="left" w:pos="14499"/>
        </w:tabs>
        <w:spacing w:before="0" w:beforeAutospacing="0" w:after="0" w:afterAutospacing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                                Αρ. Πρωτ. :  64508</w:t>
      </w:r>
    </w:p>
    <w:p w14:paraId="7067B1AA">
      <w:pPr>
        <w:pStyle w:val="5"/>
        <w:tabs>
          <w:tab w:val="left" w:pos="10659"/>
          <w:tab w:val="left" w:pos="11619"/>
          <w:tab w:val="left" w:pos="12579"/>
          <w:tab w:val="left" w:pos="13539"/>
          <w:tab w:val="left" w:pos="14499"/>
        </w:tabs>
        <w:spacing w:before="0" w:beforeAutospacing="0" w:after="0" w:afterAutospacing="0"/>
        <w:rPr>
          <w:rFonts w:ascii="Times New Roman" w:hAnsi="Times New Roman" w:eastAsia="Times New Roman" w:cs="Times New Roman"/>
          <w:sz w:val="28"/>
        </w:rPr>
      </w:pPr>
    </w:p>
    <w:p w14:paraId="756ED31F">
      <w:pPr>
        <w:pStyle w:val="5"/>
        <w:tabs>
          <w:tab w:val="left" w:pos="10659"/>
          <w:tab w:val="left" w:pos="11619"/>
          <w:tab w:val="left" w:pos="12579"/>
          <w:tab w:val="left" w:pos="13539"/>
          <w:tab w:val="left" w:pos="14499"/>
        </w:tabs>
        <w:spacing w:before="0" w:beforeAutospacing="0" w:after="0" w:afterAutospacing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ΕΙΣΗΓΗΤΙΚΗ ΕΚΘΕΣΗ  ΓΙΑ ΤΟ ΣΧΕΔΙΟ  ΠΡΟΥΠΟΛΟΓΙΣΜΟΥ ΕΤΟΥΣ 2025</w:t>
      </w:r>
    </w:p>
    <w:p w14:paraId="5D4E4741">
      <w:pPr>
        <w:pStyle w:val="5"/>
        <w:tabs>
          <w:tab w:val="left" w:pos="10659"/>
          <w:tab w:val="left" w:pos="11619"/>
          <w:tab w:val="left" w:pos="12579"/>
          <w:tab w:val="left" w:pos="13539"/>
          <w:tab w:val="left" w:pos="14499"/>
        </w:tabs>
        <w:spacing w:before="0" w:beforeAutospacing="0" w:after="0" w:afterAutospacing="0"/>
        <w:rPr>
          <w:rFonts w:ascii="Times New Roman" w:hAnsi="Times New Roman" w:eastAsia="Times New Roman" w:cs="Times New Roman"/>
        </w:rPr>
      </w:pPr>
    </w:p>
    <w:p w14:paraId="31ECBD7E">
      <w:pPr>
        <w:pStyle w:val="6"/>
        <w:jc w:val="both"/>
      </w:pPr>
      <w:r>
        <w:t xml:space="preserve">      </w:t>
      </w:r>
    </w:p>
    <w:p w14:paraId="35A44667">
      <w:pPr>
        <w:pStyle w:val="7"/>
        <w:jc w:val="both"/>
        <w:rPr>
          <w:color w:val="000000"/>
          <w:sz w:val="23"/>
          <w:szCs w:val="23"/>
        </w:rPr>
      </w:pPr>
      <w:r>
        <w:t xml:space="preserve"> Σύμφωνα με </w:t>
      </w:r>
      <w:r>
        <w:rPr>
          <w:color w:val="000000"/>
          <w:sz w:val="23"/>
          <w:szCs w:val="23"/>
        </w:rPr>
        <w:t xml:space="preserve">το υπ΄αριθμ πρωτ. </w:t>
      </w:r>
      <w:r>
        <w:rPr>
          <w:b/>
          <w:color w:val="000000"/>
          <w:sz w:val="23"/>
          <w:szCs w:val="23"/>
        </w:rPr>
        <w:t>952/05-12-24</w:t>
      </w:r>
      <w:r>
        <w:rPr>
          <w:color w:val="000000"/>
          <w:sz w:val="23"/>
          <w:szCs w:val="23"/>
        </w:rPr>
        <w:t xml:space="preserve"> έγγραφο του ΥΠΕΣ με θέμα : </w:t>
      </w:r>
    </w:p>
    <w:p w14:paraId="226D9956">
      <w:pPr>
        <w:pStyle w:val="6"/>
        <w:jc w:val="both"/>
        <w:rPr>
          <w:sz w:val="22"/>
          <w:szCs w:val="22"/>
        </w:rPr>
      </w:pPr>
      <w:r>
        <w:rPr>
          <w:sz w:val="23"/>
          <w:szCs w:val="23"/>
        </w:rPr>
        <w:t>«Γνώμη του Παρατηρητηρίου Οικονομικής Αυτοτέλειας των Ο.Τ.Α. επί του σχεδίου του προϋπολογισμού έτους 2025 του φορέα με την επωνυμία: ΔΗΜΟΣ ΛΑΡΙΣ</w:t>
      </w:r>
      <w:bookmarkStart w:id="0" w:name="_GoBack"/>
      <w:bookmarkEnd w:id="0"/>
      <w:r>
        <w:rPr>
          <w:sz w:val="23"/>
          <w:szCs w:val="23"/>
        </w:rPr>
        <w:t xml:space="preserve">ΑΙΩΝ»,  το  Παρατηρητήριο έχει τη γνώμη ότι το Σχέδιο Προϋπολογισμού έτους 2025 του Δήμου Λαρισαίων έχει υποβληθεί ισοσκελισμένα και έχει τηρήσει τις οδηγίες που δόθηκαν με τα άρθρα 3 και 4 την 56415/26-07-2024 (Β΄4457) ΚΥΑ. Οπότε οι πίνακες που ακολουθούν αποτελούν το σχέδιο προϋπολογισμού 2025, σύμφωνα με την απόφαση 1069/03-12-2024 της Δημοτικής Επιτροπής.  </w:t>
      </w:r>
    </w:p>
    <w:p w14:paraId="7713DD66">
      <w:pPr>
        <w:pStyle w:val="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Το σχέδιο προϋπολογισμού καταρτίστηκε σύμφωνα με τις διατάξεις του Ν.3852/2010 (Καλλικράτης) έτσι όπως τροποποιήθηκαν με το άρθρο 3 του Ν 4623/2019 και το ΦΕΚ 4457/Β/26-07-2024 στο οποίο αναφέρεται η 56415 δι-υπουργική απόφαση «Παροχή οδηγιών για την κατάρτιση του προϋπολογισμών δήμων, οικονομικού έτους 2025-τροποποίηση της αριθμ. 7028/2004(Β΄253) απόφασης» </w:t>
      </w:r>
    </w:p>
    <w:p w14:paraId="746975C5">
      <w:pPr>
        <w:pStyle w:val="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Το σχέδιο προϋπολογισμού υποβάλλεται από την Δημοτική Επιτροπή στο Δημοτικό Συμβούλιο προς συζήτηση και ψήφιση προβλέπεται από τις διατάξεις του άρθρου 4 του Ν 4111/2013 σε μία ειδική γι’ αυτόν τον σκοπό συνεδρίαση. </w:t>
      </w:r>
    </w:p>
    <w:p w14:paraId="786D3F4A">
      <w:pPr>
        <w:pStyle w:val="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Με τις προτάσεις των υπηρεσιών ο προϋπολογισμός του 2025 ανέρχεται στο ύψος των </w:t>
      </w:r>
      <w:r>
        <w:rPr>
          <w:b/>
          <w:color w:val="000000"/>
          <w:sz w:val="23"/>
          <w:szCs w:val="23"/>
        </w:rPr>
        <w:t>188.981.066,23 €.</w:t>
      </w:r>
    </w:p>
    <w:p w14:paraId="5BE08EBA">
      <w:pPr>
        <w:pStyle w:val="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Για την σύνταξη του σχεδίου του προϋπολογισμού είχε ληφθεί υπ’ όψιν η πορεία εκτέλεσης του 7μήνου του 2023 σε σχέση με την αντίστοιχη εκτέλεση της ίδιας περιόδου του έτους 2024. Η σύγκριση πραγματοποιήθηκε λαμβάνοντας υπ’ όψιν τα πραγματοποιθέντα εισπραχθέντα έσοδα και πληρωθέντα έξοδα των 7μήνων. </w:t>
      </w:r>
    </w:p>
    <w:p w14:paraId="29AE9DA1">
      <w:pPr>
        <w:pStyle w:val="5"/>
        <w:rPr>
          <w:color w:val="000000"/>
          <w:sz w:val="23"/>
          <w:szCs w:val="23"/>
        </w:rPr>
      </w:pPr>
      <w:r>
        <w:rPr>
          <w:bCs w:val="0"/>
          <w:color w:val="000000"/>
          <w:sz w:val="23"/>
          <w:szCs w:val="23"/>
        </w:rPr>
        <w:t xml:space="preserve">ΓΕΝΙΚΕΣ ΠΑΡΑΤΗΡΗΣΕΙΣ ΓΙΑ ΤΗΝ ΚΑΤΑΡΤΙΣΗ ΤΟΥ ΠΡΟΫΠΟΛΟΓΙΣΜΟΥ </w:t>
      </w:r>
    </w:p>
    <w:p w14:paraId="2F450951">
      <w:pPr>
        <w:pStyle w:val="6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Όλες οι επιχορηγήσεις που προορίζονται για ειδικούς σκοπούς (έργα, επισκευές σχολείων, σίτιση μουσικού σχολείου κλπ) ισοσκελίζονται με αντίστοιχες δαπάνες.</w:t>
      </w:r>
    </w:p>
    <w:p w14:paraId="38E4C871">
      <w:pPr>
        <w:pStyle w:val="6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Οι λειτουργικές δαπάνες (έξοδα χρήσης - κωδικός αριθμός 6 - και πληρωμές παρελθόντων ετών και λοιπές αποδόσεις - κωδικός αριθμός 8 -) καλύπτονται από τους ίδιους πόρους-ΚΑΠ, από διάφορες επιχορηγήσεις (που είναι για λειτουργικές δαπάνες) και από το ενιαίο ανταποδοτικό τέλος, για τις αντίστοιχες υπηρεσίες. </w:t>
      </w:r>
    </w:p>
    <w:p w14:paraId="73ECADBA">
      <w:pPr>
        <w:pStyle w:val="6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Τα έσοδα από το ενιαίο ανταποδοτικό τέλος διατίθενται αποκλειστικά και μόνο για τις ανταποδοτικές υπηρεσίες. </w:t>
      </w:r>
    </w:p>
    <w:p w14:paraId="44DD8455">
      <w:pPr>
        <w:pStyle w:val="6"/>
        <w:jc w:val="both"/>
        <w:rPr>
          <w:sz w:val="23"/>
          <w:szCs w:val="23"/>
        </w:rPr>
      </w:pPr>
    </w:p>
    <w:p w14:paraId="0D076B7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Η ανάλυση των κωδικών εσόδων-εξόδων εμφανίζονται στον πίνακα ομαδοποιημένα:</w:t>
      </w:r>
    </w:p>
    <w:p w14:paraId="6B5843A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50B25D">
      <w:r>
        <w:t xml:space="preserve">             </w:t>
      </w:r>
    </w:p>
    <w:p w14:paraId="081302C8"/>
    <w:p w14:paraId="162E0A64"/>
    <w:p w14:paraId="05C554CF"/>
    <w:p w14:paraId="261232BA"/>
    <w:p w14:paraId="50E3A182"/>
    <w:p w14:paraId="0D319FE2"/>
    <w:p w14:paraId="6C11599C"/>
    <w:p w14:paraId="78B71772"/>
    <w:tbl>
      <w:tblPr>
        <w:tblStyle w:val="3"/>
        <w:tblW w:w="8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120"/>
        <w:gridCol w:w="2180"/>
      </w:tblGrid>
      <w:tr w14:paraId="77532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 w14:paraId="3D0D5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ΣΥΝΟΠΤΙΚΗ ΚΑΤΑΣΤΑΣΗ ΠΡΟΫΠΟΛΟΓΙΣΜΟΥ  ΕΣΟΔΩΝ-ΕΞΟΔΩΝ</w:t>
            </w:r>
          </w:p>
        </w:tc>
      </w:tr>
      <w:tr w14:paraId="3C1AC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 w14:paraId="4DF9F8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ΔΗΜΟΥ:  για το έτος: 2025  </w:t>
            </w:r>
          </w:p>
        </w:tc>
      </w:tr>
      <w:tr w14:paraId="60FD5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8CC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EE7B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E8CE">
            <w:pPr>
              <w:rPr>
                <w:sz w:val="20"/>
                <w:szCs w:val="20"/>
              </w:rPr>
            </w:pPr>
          </w:p>
        </w:tc>
      </w:tr>
      <w:tr w14:paraId="2F5DF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7122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7B25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017CC">
            <w:pPr>
              <w:rPr>
                <w:sz w:val="20"/>
                <w:szCs w:val="20"/>
              </w:rPr>
            </w:pPr>
          </w:p>
        </w:tc>
      </w:tr>
      <w:tr w14:paraId="6896F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00"/>
            <w:vAlign w:val="bottom"/>
          </w:tcPr>
          <w:p w14:paraId="016BE9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Κωδικοί αριθμοί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FFFF00"/>
            <w:vAlign w:val="bottom"/>
          </w:tcPr>
          <w:p w14:paraId="0EB5CD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Έσοδα και Εισπράξεις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FFFF00"/>
            <w:vAlign w:val="bottom"/>
          </w:tcPr>
          <w:p w14:paraId="66BEC1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Προϋπολογισμός</w:t>
            </w:r>
          </w:p>
        </w:tc>
      </w:tr>
      <w:tr w14:paraId="2F7B6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EB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6449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Τακτικά Έσοδα</w:t>
            </w:r>
          </w:p>
        </w:tc>
        <w:tc>
          <w:tcPr>
            <w:tcW w:w="218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FAA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54.862.747,91</w:t>
            </w:r>
          </w:p>
        </w:tc>
      </w:tr>
      <w:tr w14:paraId="0D804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C7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1(πλην 13)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B7F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Έκτακτα έσοδα (πλην επιχορηγήσεις για επενδύσεις)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D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8.012.314,26</w:t>
            </w:r>
          </w:p>
        </w:tc>
      </w:tr>
      <w:tr w14:paraId="6B702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EED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D428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Έσοδα παρελθόντων ετών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354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1.452.130,15</w:t>
            </w:r>
          </w:p>
        </w:tc>
      </w:tr>
      <w:tr w14:paraId="0B1F6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4A2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15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Εισπράξεις από Δάνεια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C51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12.528.397,68</w:t>
            </w:r>
          </w:p>
        </w:tc>
      </w:tr>
      <w:tr w14:paraId="6EC93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9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455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Εισπρακτέα υπόλοιπα από βεβαιωθέντα έσοδα κατά τα παρελθόντα έτη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035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37.350.064,89</w:t>
            </w:r>
          </w:p>
        </w:tc>
      </w:tr>
      <w:tr w14:paraId="72616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1CC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555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Εισπράξεις υπέρ Δημοσίου, Ασφ. Φορέων και Τρίτων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B0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19.067.810,00</w:t>
            </w:r>
          </w:p>
        </w:tc>
      </w:tr>
      <w:tr w14:paraId="12F4C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8A5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5F6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Χρηματικό υπόλοιπο προηγ. έτους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6B6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15.775.305,72</w:t>
            </w:r>
          </w:p>
        </w:tc>
      </w:tr>
      <w:tr w14:paraId="636E8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E1D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6136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Επιχορηγήσεις για επενδύσεις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44A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39.932.295,62</w:t>
            </w:r>
          </w:p>
        </w:tc>
      </w:tr>
      <w:tr w14:paraId="61EED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bottom"/>
          </w:tcPr>
          <w:p w14:paraId="394679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Σύνολo Πόρων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noWrap/>
            <w:vAlign w:val="bottom"/>
          </w:tcPr>
          <w:p w14:paraId="648B940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188.981.066,23</w:t>
            </w:r>
          </w:p>
        </w:tc>
      </w:tr>
      <w:tr w14:paraId="7C587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153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BBE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0F8C2">
            <w:pPr>
              <w:rPr>
                <w:sz w:val="20"/>
                <w:szCs w:val="20"/>
              </w:rPr>
            </w:pPr>
          </w:p>
        </w:tc>
      </w:tr>
      <w:tr w14:paraId="001FA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00"/>
            <w:vAlign w:val="bottom"/>
          </w:tcPr>
          <w:p w14:paraId="542FE7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Κωδικοί αριθμοί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FFFF00"/>
            <w:vAlign w:val="bottom"/>
          </w:tcPr>
          <w:p w14:paraId="62902E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Έξοδα και Πληρωμές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FFFF00"/>
            <w:vAlign w:val="bottom"/>
          </w:tcPr>
          <w:p w14:paraId="638358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Προϋπολογισμός</w:t>
            </w:r>
          </w:p>
        </w:tc>
      </w:tr>
      <w:tr w14:paraId="65C84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DA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1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5B2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Αμοιβές και έξοδα προσωπικού</w:t>
            </w:r>
          </w:p>
        </w:tc>
        <w:tc>
          <w:tcPr>
            <w:tcW w:w="218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D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38.461.416,66</w:t>
            </w:r>
          </w:p>
        </w:tc>
      </w:tr>
      <w:tr w14:paraId="4DF55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6D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61,62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A5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Αμοιβές και παροχές τρίτων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079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18.694.439,10</w:t>
            </w:r>
          </w:p>
        </w:tc>
      </w:tr>
      <w:tr w14:paraId="7DE6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5AC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63,64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370B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Φόροι - τέλη, λοιπά γενικά έξοδα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E5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2.882.871,87</w:t>
            </w:r>
          </w:p>
        </w:tc>
      </w:tr>
      <w:tr w14:paraId="290BE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594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1AD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Τοκοχρεωλύσια δανείων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86C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794.686,51</w:t>
            </w:r>
          </w:p>
        </w:tc>
      </w:tr>
      <w:tr w14:paraId="55FB5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24F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B6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Προμήθειες-Αναλώσεις υλικών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13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4.619.934,32</w:t>
            </w:r>
          </w:p>
        </w:tc>
      </w:tr>
      <w:tr w14:paraId="52B20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B3C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67,68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CF1F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Μεταβιβάσεις σε τρίτους, λοιπά έξοδα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4D3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7.765.731,98</w:t>
            </w:r>
          </w:p>
        </w:tc>
      </w:tr>
      <w:tr w14:paraId="2240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4A5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EA46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Πληρωμές για υποχρεώσεις Π.Ο.Ε.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D36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3.782.500,00</w:t>
            </w:r>
          </w:p>
        </w:tc>
      </w:tr>
      <w:tr w14:paraId="4D8F7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7C8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809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Επιχορηγούμενες Πληρωμές Υποχρεώσεων Π.Ο.Ε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3FA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14:paraId="5E5B2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38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82,85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E2E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Λοιπές αποδόσεις και προβλέψεις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34F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51.629.117,12</w:t>
            </w:r>
          </w:p>
        </w:tc>
      </w:tr>
      <w:tr w14:paraId="75514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E7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0B0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D8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526E8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043F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FFFF00"/>
            <w:vAlign w:val="bottom"/>
          </w:tcPr>
          <w:p w14:paraId="1D5773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Επενδύσεις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1A9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4369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CF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1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492A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Αγορές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30B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5.412.702,01</w:t>
            </w:r>
          </w:p>
        </w:tc>
      </w:tr>
      <w:tr w14:paraId="5392B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526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2C9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Έργα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3FE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50.861.696,06</w:t>
            </w:r>
          </w:p>
        </w:tc>
      </w:tr>
      <w:tr w14:paraId="02649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3BD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C3E1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Μελέτες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ACC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3.005.520,38</w:t>
            </w:r>
          </w:p>
        </w:tc>
      </w:tr>
      <w:tr w14:paraId="5C4C5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9F3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474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Συμμετοχή σε επιχειρήσεις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5C1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14:paraId="5FA60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7D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EED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Τοκοχρεωλύσια δανείων επενδύσεων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1D9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920.538,99</w:t>
            </w:r>
          </w:p>
        </w:tc>
      </w:tr>
      <w:tr w14:paraId="7708F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DB2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9111</w:t>
            </w:r>
          </w:p>
        </w:tc>
        <w:tc>
          <w:tcPr>
            <w:tcW w:w="512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BA8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Αποθεματικό</w:t>
            </w:r>
          </w:p>
        </w:tc>
        <w:tc>
          <w:tcPr>
            <w:tcW w:w="2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03A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149.911,23</w:t>
            </w:r>
          </w:p>
        </w:tc>
      </w:tr>
      <w:tr w14:paraId="15B0B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bottom"/>
          </w:tcPr>
          <w:p w14:paraId="159387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Σύνολo εξόδων και πληρωμών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noWrap/>
            <w:vAlign w:val="bottom"/>
          </w:tcPr>
          <w:p w14:paraId="7762E9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188.981.066,23</w:t>
            </w:r>
          </w:p>
        </w:tc>
      </w:tr>
    </w:tbl>
    <w:p w14:paraId="4B969C06">
      <w:pPr>
        <w:pStyle w:val="8"/>
      </w:pPr>
      <w:r>
        <w:t xml:space="preserve">   </w:t>
      </w:r>
    </w:p>
    <w:p w14:paraId="1052CA0F">
      <w:pPr>
        <w:pStyle w:val="8"/>
      </w:pPr>
    </w:p>
    <w:p w14:paraId="42A0DA5B">
      <w:pPr>
        <w:pStyle w:val="8"/>
        <w:rPr>
          <w:b/>
        </w:rPr>
      </w:pPr>
      <w:r>
        <w:rPr>
          <w:b/>
        </w:rPr>
        <w:t xml:space="preserve">                Ο ΑΝΤΙΔΗΜΑΡΧΟΣ ΟΙΚΟΝΟΜΙΚΩΝ ΥΠΗΡΕΣΙΩΝ &amp; </w:t>
      </w:r>
    </w:p>
    <w:p w14:paraId="2528FB3F">
      <w:pPr>
        <w:pStyle w:val="8"/>
        <w:ind w:left="2880" w:firstLine="720"/>
        <w:rPr>
          <w:b/>
        </w:rPr>
      </w:pPr>
      <w:r>
        <w:rPr>
          <w:b/>
        </w:rPr>
        <w:t>ΔΙΟΙΚΗΣΗΣ</w:t>
      </w:r>
    </w:p>
    <w:p w14:paraId="0C764333">
      <w:pPr>
        <w:jc w:val="center"/>
        <w:rPr>
          <w:b/>
        </w:rPr>
      </w:pPr>
      <w:r>
        <w:rPr>
          <w:b/>
        </w:rPr>
        <w:t xml:space="preserve">  </w:t>
      </w:r>
    </w:p>
    <w:p w14:paraId="78F85700">
      <w:pPr>
        <w:jc w:val="center"/>
        <w:rPr>
          <w:b/>
        </w:rPr>
      </w:pPr>
    </w:p>
    <w:p w14:paraId="59201C1A">
      <w:pPr>
        <w:jc w:val="center"/>
        <w:rPr>
          <w:b/>
        </w:rPr>
      </w:pPr>
    </w:p>
    <w:p w14:paraId="339D0F72">
      <w:pPr>
        <w:jc w:val="center"/>
        <w:rPr>
          <w:b/>
        </w:rPr>
      </w:pPr>
      <w:r>
        <w:rPr>
          <w:b/>
        </w:rPr>
        <w:t xml:space="preserve">   ΑΧΙΛΛΕΑΣ ΚΕΛΛΑΣ</w:t>
      </w:r>
    </w:p>
    <w:p w14:paraId="46C1A28A">
      <w:pPr>
        <w:jc w:val="center"/>
      </w:pPr>
    </w:p>
    <w:p w14:paraId="3110AFB5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A719D"/>
    <w:multiLevelType w:val="multilevel"/>
    <w:tmpl w:val="D6DA719D"/>
    <w:lvl w:ilvl="0" w:tentative="0">
      <w:start w:val="1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1"/>
    <w:rsid w:val="00002C75"/>
    <w:rsid w:val="00112CFA"/>
    <w:rsid w:val="00157C29"/>
    <w:rsid w:val="00163F10"/>
    <w:rsid w:val="001A0D2C"/>
    <w:rsid w:val="00236F75"/>
    <w:rsid w:val="002817F3"/>
    <w:rsid w:val="002A4E02"/>
    <w:rsid w:val="002C58E5"/>
    <w:rsid w:val="00301EDF"/>
    <w:rsid w:val="003568F4"/>
    <w:rsid w:val="00377CDC"/>
    <w:rsid w:val="003F6CF9"/>
    <w:rsid w:val="0040300C"/>
    <w:rsid w:val="004453B7"/>
    <w:rsid w:val="00447A71"/>
    <w:rsid w:val="00531D34"/>
    <w:rsid w:val="00546B69"/>
    <w:rsid w:val="00667460"/>
    <w:rsid w:val="00670DE4"/>
    <w:rsid w:val="006C4225"/>
    <w:rsid w:val="006E69E2"/>
    <w:rsid w:val="00713E8F"/>
    <w:rsid w:val="007C5424"/>
    <w:rsid w:val="00835215"/>
    <w:rsid w:val="00956916"/>
    <w:rsid w:val="009868FB"/>
    <w:rsid w:val="009E6799"/>
    <w:rsid w:val="00AB433C"/>
    <w:rsid w:val="00B02B41"/>
    <w:rsid w:val="00B24BD9"/>
    <w:rsid w:val="00B8540C"/>
    <w:rsid w:val="00B93B82"/>
    <w:rsid w:val="00C03453"/>
    <w:rsid w:val="00C60A7D"/>
    <w:rsid w:val="00C625E2"/>
    <w:rsid w:val="00C84A89"/>
    <w:rsid w:val="00CB1D01"/>
    <w:rsid w:val="00CE043F"/>
    <w:rsid w:val="00CE76BF"/>
    <w:rsid w:val="00D74286"/>
    <w:rsid w:val="00D90C70"/>
    <w:rsid w:val="00DA2899"/>
    <w:rsid w:val="00E9749B"/>
    <w:rsid w:val="00EC3BB3"/>
    <w:rsid w:val="00F80B9F"/>
    <w:rsid w:val="00FD475A"/>
    <w:rsid w:val="5E2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5">
    <w:name w:val="xl29"/>
    <w:basedOn w:val="1"/>
    <w:qFormat/>
    <w:uiPriority w:val="99"/>
    <w:pPr>
      <w:spacing w:before="100" w:beforeAutospacing="1" w:after="100" w:afterAutospacing="1"/>
      <w:jc w:val="center"/>
    </w:pPr>
    <w:rPr>
      <w:rFonts w:ascii="Arial" w:hAnsi="Arial" w:eastAsia="Arial Unicode MS" w:cs="Arial"/>
      <w:b/>
      <w:bCs/>
      <w:sz w:val="22"/>
      <w:szCs w:val="22"/>
    </w:r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l-GR" w:eastAsia="en-US" w:bidi="ar-SA"/>
    </w:rPr>
  </w:style>
  <w:style w:type="paragraph" w:customStyle="1" w:styleId="7">
    <w:name w:val="S.µa .e.µ...."/>
    <w:basedOn w:val="6"/>
    <w:next w:val="6"/>
    <w:qFormat/>
    <w:uiPriority w:val="99"/>
    <w:rPr>
      <w:color w:val="auto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Κείμενο πλαισίου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612</Words>
  <Characters>3306</Characters>
  <Lines>27</Lines>
  <Paragraphs>7</Paragraphs>
  <TotalTime>76</TotalTime>
  <ScaleCrop>false</ScaleCrop>
  <LinksUpToDate>false</LinksUpToDate>
  <CharactersWithSpaces>3911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2024-12-12T08:45:00Z</dcterms:created>
  <dc:creator>Hewlett-Packard Company</dc:creator>
  <cp:lastModifiedBy>mmichou</cp:lastModifiedBy>
  <cp:lastPrinted>2024-12-12T10:12:00Z</cp:lastPrinted>
  <dcterms:modified xsi:type="dcterms:W3CDTF">2024-12-17T13:14:10Z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0EE5F04A3D9F4A12B0067B63A6B60ECA_13</vt:lpwstr>
  </property>
</Properties>
</file>